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30" w:rsidRDefault="005A1C30">
      <w:pPr>
        <w:keepNext/>
        <w:suppressAutoHyphens/>
        <w:spacing w:before="240"/>
        <w:jc w:val="center"/>
        <w:rPr>
          <w:rFonts w:ascii="Arial" w:hAnsi="Arial" w:cs="Arial"/>
          <w:b/>
          <w:bCs/>
          <w:color w:val="000000"/>
          <w:sz w:val="28"/>
          <w:szCs w:val="28"/>
        </w:rPr>
      </w:pPr>
      <w:r>
        <w:rPr>
          <w:rFonts w:ascii="Arial" w:hAnsi="Arial" w:cs="Arial"/>
          <w:b/>
          <w:bCs/>
          <w:color w:val="000000"/>
          <w:sz w:val="28"/>
          <w:szCs w:val="28"/>
        </w:rPr>
        <w:t>Allgemeine Mandatsbedingungen</w:t>
      </w:r>
    </w:p>
    <w:p w:rsidR="005A1C30" w:rsidRDefault="005A1C30">
      <w:pPr>
        <w:suppressAutoHyphens/>
        <w:spacing w:after="240"/>
        <w:jc w:val="center"/>
        <w:rPr>
          <w:rFonts w:ascii="Arial" w:hAnsi="Arial" w:cs="Arial"/>
          <w:b/>
          <w:bCs/>
          <w:color w:val="000000"/>
          <w:sz w:val="24"/>
          <w:szCs w:val="24"/>
        </w:rPr>
      </w:pPr>
      <w:r>
        <w:rPr>
          <w:rFonts w:ascii="Arial" w:hAnsi="Arial" w:cs="Arial"/>
          <w:b/>
          <w:bCs/>
          <w:color w:val="000000"/>
          <w:sz w:val="24"/>
          <w:szCs w:val="24"/>
        </w:rPr>
        <w:t>der Rechtsanwaltskanzlei Bernd Gördes</w:t>
      </w:r>
    </w:p>
    <w:p w:rsidR="005A1C30" w:rsidRDefault="005A1C30">
      <w:pPr>
        <w:suppressAutoHyphens/>
        <w:spacing w:after="240"/>
        <w:jc w:val="center"/>
        <w:rPr>
          <w:rFonts w:ascii="Arial" w:hAnsi="Arial" w:cs="Arial"/>
          <w:color w:val="000000"/>
          <w:sz w:val="24"/>
          <w:szCs w:val="24"/>
        </w:rPr>
      </w:pPr>
      <w:r>
        <w:rPr>
          <w:rFonts w:ascii="Arial" w:hAnsi="Arial" w:cs="Arial"/>
          <w:color w:val="000000"/>
          <w:sz w:val="24"/>
          <w:szCs w:val="24"/>
        </w:rPr>
        <w:t>(im Weiteren: „Rechtsanwalt“)</w:t>
      </w:r>
    </w:p>
    <w:p w:rsidR="005A1C30" w:rsidRDefault="005A1C30">
      <w:pPr>
        <w:suppressAutoHyphens/>
        <w:spacing w:after="240"/>
        <w:rPr>
          <w:rFonts w:ascii="Arial" w:hAnsi="Arial" w:cs="Arial"/>
          <w:color w:val="000000"/>
          <w:sz w:val="24"/>
          <w:szCs w:val="24"/>
        </w:rPr>
      </w:pP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Für die Mandatsbearbeitung des Rechtsanwalts gelten folgende allgemeine Mandatsbedingungen:</w:t>
      </w:r>
    </w:p>
    <w:p w:rsidR="005A1C30" w:rsidRDefault="005A1C30">
      <w:pPr>
        <w:suppressAutoHyphens/>
        <w:spacing w:after="240"/>
        <w:rPr>
          <w:rFonts w:ascii="Arial" w:eastAsiaTheme="minorEastAsia"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1. Gegenstand der Tätigkeit; Gebührenhinweis</w:t>
      </w:r>
    </w:p>
    <w:p w:rsidR="005A1C30" w:rsidRDefault="005A1C30">
      <w:pPr>
        <w:suppressAutoHyphens/>
        <w:spacing w:after="240"/>
        <w:rPr>
          <w:rFonts w:ascii="Arial" w:hAnsi="Arial" w:cs="Arial"/>
          <w:sz w:val="24"/>
          <w:szCs w:val="24"/>
        </w:rPr>
      </w:pPr>
      <w:r>
        <w:rPr>
          <w:rFonts w:ascii="Arial" w:hAnsi="Arial" w:cs="Arial"/>
          <w:sz w:val="24"/>
          <w:szCs w:val="24"/>
        </w:rPr>
        <w:t>Der Gegenstand des Mandats und die zur Bearbeitung gewünschten Tätigkeiten des Rechtsanwalts werden zwischen dem Mandanten und dem Rechtsanwalt gesondert vereinbart. Die im Rahmen der Mandatsbearbeitung zu leistende Rechtsberatung des Rechtsanwalts bezieht sich ausschließlich auf das Recht der Bundesrepublik Deutschland, sie umfasst keine steuerrechtliche Beratung. Etwaige steuerliche Auswirkungen hat der Mandant durch fachkundige Dritte (</w:t>
      </w:r>
      <w:proofErr w:type="spellStart"/>
      <w:r>
        <w:rPr>
          <w:rFonts w:ascii="Arial" w:hAnsi="Arial" w:cs="Arial"/>
          <w:sz w:val="24"/>
          <w:szCs w:val="24"/>
        </w:rPr>
        <w:t>zB</w:t>
      </w:r>
      <w:proofErr w:type="spellEnd"/>
      <w:r>
        <w:rPr>
          <w:rFonts w:ascii="Arial" w:hAnsi="Arial" w:cs="Arial"/>
          <w:sz w:val="24"/>
          <w:szCs w:val="24"/>
        </w:rPr>
        <w:t>. Fachanwalt für Steuerrecht, Steuer</w:t>
      </w:r>
      <w:r>
        <w:rPr>
          <w:rFonts w:ascii="Arial" w:hAnsi="Arial" w:cs="Arial"/>
          <w:sz w:val="24"/>
          <w:szCs w:val="24"/>
        </w:rPr>
        <w:softHyphen/>
        <w:t>berater, Wirtschaftsprüfer) auf eigene Veranlassung klären zu lassen und etwaige Gestaltungsanforderungen dem Rechtsanwalt mitzuteilen. Sofern die Rechtssache ausländisches Recht berührt, weist der Rechtsanwalt hierauf rechtzeitig hin.</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 xml:space="preserve">Der Rechtsanwalt ist berechtigt, zur Bearbeitung des Mandats Mitarbeiter, andere Rechtsanwältinnen oder Rechtsanwälte und sonstige fachkundige Dritte heranzuziehen. Sofern dadurch zusätzliche Kosten entstehen, </w:t>
      </w:r>
      <w:proofErr w:type="gramStart"/>
      <w:r>
        <w:rPr>
          <w:rFonts w:ascii="Arial" w:hAnsi="Arial" w:cs="Arial"/>
          <w:color w:val="000000"/>
          <w:sz w:val="24"/>
          <w:szCs w:val="24"/>
        </w:rPr>
        <w:t>verpflichten</w:t>
      </w:r>
      <w:proofErr w:type="gramEnd"/>
      <w:r>
        <w:rPr>
          <w:rFonts w:ascii="Arial" w:hAnsi="Arial" w:cs="Arial"/>
          <w:color w:val="000000"/>
          <w:sz w:val="24"/>
          <w:szCs w:val="24"/>
        </w:rPr>
        <w:t xml:space="preserve"> sich der Rechtsanwalt, zuvor die Zustimmung des Mandanten einzuholen.</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Die für die anwaltliche Tätigkeit zu erhebenden Gebühren richten sich nach dem Gegenstandswert oder nach einer getroffenen Vergütungsvereinbarung.</w:t>
      </w:r>
    </w:p>
    <w:p w:rsidR="005A1C30" w:rsidRDefault="005A1C30">
      <w:pPr>
        <w:suppressAutoHyphens/>
        <w:spacing w:after="240"/>
        <w:rPr>
          <w:rFonts w:ascii="Arial" w:eastAsiaTheme="minorEastAsia"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2. Pflichten des Rechtsanwalts</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Rechtliche Prüfung</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Der Rechtsanwalt wird die Rechtssache des Mandanten sorgfältig prüfen, ihn über das Ergebnis der Prüfung unterrichten und gegenüber Dritten die Interessen des Mandanten im jeweils beauftragten Umfang rechtlich vertreten.</w:t>
      </w:r>
    </w:p>
    <w:p w:rsidR="005A1C30" w:rsidRDefault="005A1C30">
      <w:pPr>
        <w:suppressAutoHyphens/>
        <w:ind w:left="454" w:hanging="454"/>
        <w:jc w:val="center"/>
        <w:rPr>
          <w:rFonts w:ascii="Arial" w:hAnsi="Arial" w:cs="Arial"/>
          <w:color w:val="000000"/>
          <w:sz w:val="24"/>
          <w:szCs w:val="24"/>
        </w:rPr>
      </w:pPr>
      <w:r>
        <w:rPr>
          <w:rFonts w:ascii="Arial" w:hAnsi="Arial" w:cs="Arial"/>
          <w:color w:val="000000"/>
          <w:sz w:val="24"/>
          <w:szCs w:val="24"/>
        </w:rPr>
        <w:lastRenderedPageBreak/>
        <w:t>-2-</w:t>
      </w:r>
    </w:p>
    <w:p w:rsidR="005A1C30" w:rsidRDefault="005A1C30">
      <w:pPr>
        <w:suppressAutoHyphens/>
        <w:ind w:left="454" w:hanging="454"/>
        <w:rPr>
          <w:rFonts w:ascii="Arial" w:hAnsi="Arial" w:cs="Arial"/>
          <w:color w:val="000000"/>
          <w:sz w:val="24"/>
          <w:szCs w:val="24"/>
        </w:rPr>
      </w:pPr>
    </w:p>
    <w:p w:rsidR="005A1C30" w:rsidRDefault="005A1C30">
      <w:pPr>
        <w:suppressAutoHyphens/>
        <w:ind w:left="454" w:hanging="454"/>
        <w:rPr>
          <w:rFonts w:ascii="Arial" w:hAnsi="Arial" w:cs="Arial"/>
          <w:color w:val="000000"/>
          <w:sz w:val="24"/>
          <w:szCs w:val="24"/>
        </w:rPr>
      </w:pPr>
    </w:p>
    <w:p w:rsidR="005A1C30" w:rsidRDefault="005A1C30">
      <w:pPr>
        <w:suppressAutoHyphens/>
        <w:ind w:left="454" w:hanging="454"/>
        <w:rPr>
          <w:rFonts w:ascii="Arial" w:hAnsi="Arial" w:cs="Arial"/>
          <w:color w:val="000000"/>
          <w:sz w:val="24"/>
          <w:szCs w:val="24"/>
        </w:rPr>
      </w:pP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 xml:space="preserve">Verschwiegenheit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r>
    </w:p>
    <w:p w:rsidR="005A1C30" w:rsidRDefault="005A1C30">
      <w:pPr>
        <w:rPr>
          <w:rFonts w:ascii="Arial" w:hAnsi="Arial" w:cs="Arial"/>
          <w:color w:val="000000"/>
          <w:sz w:val="24"/>
          <w:szCs w:val="24"/>
        </w:rPr>
      </w:pPr>
      <w:r>
        <w:rPr>
          <w:rFonts w:ascii="Arial" w:hAnsi="Arial" w:cs="Arial"/>
          <w:color w:val="000000"/>
          <w:sz w:val="24"/>
          <w:szCs w:val="24"/>
        </w:rPr>
        <w:t xml:space="preserve">    Der Rechtsanwalt ist berufsrechtlich zur Verschwiegenheit verpflichtet. Diese </w:t>
      </w:r>
    </w:p>
    <w:p w:rsidR="005A1C30" w:rsidRDefault="005A1C30">
      <w:pPr>
        <w:rPr>
          <w:rFonts w:ascii="Arial" w:hAnsi="Arial" w:cs="Arial"/>
          <w:color w:val="000000"/>
          <w:sz w:val="24"/>
          <w:szCs w:val="24"/>
        </w:rPr>
      </w:pPr>
      <w:r>
        <w:rPr>
          <w:rFonts w:ascii="Arial" w:hAnsi="Arial" w:cs="Arial"/>
          <w:color w:val="000000"/>
          <w:sz w:val="24"/>
          <w:szCs w:val="24"/>
        </w:rPr>
        <w:t xml:space="preserve">    Pflicht bezieht sich auf alles, was dem Rechtsanwalt im Rahmen des Mandats </w:t>
      </w:r>
    </w:p>
    <w:p w:rsidR="005A1C30" w:rsidRDefault="005A1C30">
      <w:r>
        <w:rPr>
          <w:rFonts w:ascii="Arial" w:hAnsi="Arial" w:cs="Arial"/>
          <w:color w:val="000000"/>
          <w:sz w:val="24"/>
          <w:szCs w:val="24"/>
        </w:rPr>
        <w:t xml:space="preserve">    durch den Mandanten anvertraut oder sonst bekannt wird. Insoweit steht dem</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Rechtsanwalt grundsätzlich ein Zeugnisverweigerungsrecht zu. Über das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Bestehen eines Mandats und Informationen im Zusammenhang mit dem Mandat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darf sich der Rechtsanwalt gegenüber Dritten, insbesondere Behörden,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grundsätzlich nur äußern, wenn der Mandant d Rechtsanwalt vorher von seiner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Schweigepflicht entbunden hat.</w:t>
      </w:r>
    </w:p>
    <w:p w:rsidR="005A1C30" w:rsidRDefault="005A1C30">
      <w:pPr>
        <w:suppressAutoHyphens/>
        <w:ind w:left="454"/>
        <w:rPr>
          <w:rFonts w:ascii="Arial" w:hAnsi="Arial" w:cs="Arial"/>
          <w:color w:val="000000"/>
          <w:sz w:val="24"/>
          <w:szCs w:val="24"/>
        </w:rPr>
      </w:pP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t>Verwahrung von Geldern</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Für den Mandanten eingehende Gelder wird der Rechtsanwalt treuhänderisch verwahren und – vorbehaltlich Ziff.</w:t>
      </w:r>
      <w:r>
        <w:rPr>
          <w:rFonts w:ascii="MS Mincho" w:eastAsia="MS Mincho" w:hAnsi="MS Mincho" w:cs="MS Mincho"/>
          <w:color w:val="000000"/>
          <w:sz w:val="24"/>
          <w:szCs w:val="24"/>
        </w:rPr>
        <w:t xml:space="preserve"> </w:t>
      </w:r>
      <w:r>
        <w:rPr>
          <w:rFonts w:ascii="Arial" w:hAnsi="Arial" w:cs="Arial"/>
          <w:color w:val="000000"/>
          <w:sz w:val="24"/>
          <w:szCs w:val="24"/>
        </w:rPr>
        <w:t>7 – unverzüglich auf schriftliche Anforderung des Mandanten an die von ihm benannte Stelle ausbezahlen.</w:t>
      </w:r>
    </w:p>
    <w:p w:rsidR="005A1C30" w:rsidRDefault="005A1C30">
      <w:pPr>
        <w:suppressAutoHyphens/>
        <w:ind w:left="454"/>
        <w:rPr>
          <w:rFonts w:ascii="Arial" w:hAnsi="Arial" w:cs="Arial"/>
          <w:color w:val="000000"/>
          <w:sz w:val="24"/>
          <w:szCs w:val="24"/>
        </w:rPr>
      </w:pP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Datenschutz</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Der Rechtsanwalt wird alle verhältnismäßigen und zumutbaren Vorkehrungen gegen Verlust und Zugriffe unbefugter Dritter auf Daten des Mandanten treffen und laufend dem jeweils bewährten Stand der Technik anpassen.</w:t>
      </w:r>
    </w:p>
    <w:p w:rsidR="005A1C30" w:rsidRDefault="005A1C30">
      <w:pPr>
        <w:suppressAutoHyphens/>
        <w:ind w:left="454" w:hanging="454"/>
        <w:rPr>
          <w:rFonts w:ascii="Arial" w:eastAsiaTheme="minorEastAsia" w:hAnsi="Arial" w:cs="Arial"/>
          <w:b/>
          <w:bCs/>
          <w:color w:val="000000"/>
          <w:sz w:val="24"/>
          <w:szCs w:val="24"/>
        </w:rPr>
      </w:pPr>
    </w:p>
    <w:p w:rsidR="005A1C30" w:rsidRDefault="005A1C30">
      <w:pPr>
        <w:suppressAutoHyphens/>
        <w:spacing w:after="240"/>
        <w:rPr>
          <w:rFonts w:ascii="Arial" w:eastAsiaTheme="minorEastAsia"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3. Obliegenheiten des Mandanten</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Eine erfolgreiche Mandatsbearbeitung ist nur bei Beachtung der folgenden Obliegenheiten gewährleistet:</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Umfassende Information</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Der Mandant wird den Rechtsanwalt über alle mit dem Auftrag zusammenhängenden Tatsachen umfassend und wahrheitsgemäß informieren und ihnen sämtliche mit dem Auftrag zusammenhängenden Unterlagen und Daten in geordneter Form übermitteln. Der Mandant wird während der Dauer des Mandats nur in Abstimmung mit dem Rechtsanwalt mit Gerichten, Behörden, der Gegenseite oder sonstigen Beteiligten in Kontakt treten.</w:t>
      </w:r>
    </w:p>
    <w:p w:rsidR="005A1C30" w:rsidRDefault="005A1C30" w:rsidP="000F13CB">
      <w:pPr>
        <w:suppressAutoHyphens/>
        <w:ind w:left="454" w:hanging="454"/>
        <w:jc w:val="center"/>
        <w:rPr>
          <w:rFonts w:ascii="Arial" w:hAnsi="Arial" w:cs="Arial"/>
          <w:color w:val="000000"/>
          <w:sz w:val="24"/>
          <w:szCs w:val="24"/>
        </w:rPr>
      </w:pPr>
      <w:r>
        <w:rPr>
          <w:rFonts w:ascii="Arial" w:hAnsi="Arial" w:cs="Arial"/>
          <w:color w:val="000000"/>
          <w:sz w:val="24"/>
          <w:szCs w:val="24"/>
        </w:rPr>
        <w:lastRenderedPageBreak/>
        <w:t>-3-</w:t>
      </w:r>
    </w:p>
    <w:p w:rsidR="005A1C30" w:rsidRDefault="005A1C30">
      <w:pPr>
        <w:suppressAutoHyphens/>
        <w:ind w:left="454" w:hanging="454"/>
        <w:rPr>
          <w:rFonts w:ascii="Arial" w:hAnsi="Arial" w:cs="Arial"/>
          <w:color w:val="000000"/>
          <w:sz w:val="24"/>
          <w:szCs w:val="24"/>
        </w:rPr>
      </w:pPr>
    </w:p>
    <w:p w:rsidR="000F13CB" w:rsidRDefault="000F13CB">
      <w:pPr>
        <w:suppressAutoHyphens/>
        <w:ind w:left="454" w:hanging="454"/>
        <w:rPr>
          <w:rFonts w:ascii="Arial" w:hAnsi="Arial" w:cs="Arial"/>
          <w:color w:val="000000"/>
          <w:sz w:val="24"/>
          <w:szCs w:val="24"/>
        </w:rPr>
      </w:pPr>
    </w:p>
    <w:p w:rsidR="000F13CB" w:rsidRDefault="000F13CB">
      <w:pPr>
        <w:suppressAutoHyphens/>
        <w:ind w:left="454" w:hanging="454"/>
        <w:rPr>
          <w:rFonts w:ascii="Arial" w:hAnsi="Arial" w:cs="Arial"/>
          <w:color w:val="000000"/>
          <w:sz w:val="24"/>
          <w:szCs w:val="24"/>
        </w:rPr>
      </w:pP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Vorsorge bei Abwesenheit und Adressänderung</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Der Mandant wird den Rechtsanwalt unterrichten, wenn er seine Anschrift, </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Telefon- und Faxnummer, E-Mail-Adresse etc. wechselt oder über längere Zeit</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xml:space="preserve">    wegen Urlaubs oder aus anderen Gründen nicht erreichbar ist.</w:t>
      </w:r>
    </w:p>
    <w:p w:rsidR="005A1C30" w:rsidRDefault="005A1C30">
      <w:pPr>
        <w:suppressAutoHyphens/>
        <w:rPr>
          <w:rFonts w:ascii="Arial" w:hAnsi="Arial" w:cs="Arial"/>
          <w:color w:val="000000"/>
          <w:sz w:val="24"/>
          <w:szCs w:val="24"/>
        </w:rPr>
      </w:pPr>
    </w:p>
    <w:p w:rsidR="005A1C30" w:rsidRDefault="005A1C30">
      <w:pPr>
        <w:suppressAutoHyphens/>
        <w:rPr>
          <w:rFonts w:ascii="Arial" w:hAnsi="Arial" w:cs="Arial"/>
          <w:color w:val="000000"/>
          <w:sz w:val="24"/>
          <w:szCs w:val="24"/>
        </w:rPr>
      </w:pPr>
      <w:r>
        <w:rPr>
          <w:rFonts w:ascii="Arial" w:hAnsi="Arial" w:cs="Arial"/>
          <w:color w:val="000000"/>
          <w:sz w:val="24"/>
          <w:szCs w:val="24"/>
        </w:rPr>
        <w:t>c)  Sorgfältige Prüfung von Schreiben des Rechtsanwalts.</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Der Mandant wird die ihm von dem Rechtsanwalt übermittelten Schreiben und Schriftsätze des Rechtsanwalts sorgfältig daraufhin überprüfen, ob die darin enthaltenen Sachverhaltsangaben wahrheitsgemäß und vollständig sind.</w:t>
      </w:r>
    </w:p>
    <w:p w:rsidR="005A1C30" w:rsidRDefault="005A1C30">
      <w:pPr>
        <w:suppressAutoHyphens/>
        <w:ind w:left="454"/>
        <w:rPr>
          <w:rFonts w:ascii="Arial" w:hAnsi="Arial" w:cs="Arial"/>
          <w:color w:val="000000"/>
          <w:sz w:val="24"/>
          <w:szCs w:val="24"/>
        </w:rPr>
      </w:pP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Rechtsschutzversicherung</w:t>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r>
    </w:p>
    <w:p w:rsidR="005A1C30" w:rsidRDefault="005A1C30">
      <w:pPr>
        <w:suppressAutoHyphens/>
        <w:ind w:left="454" w:hanging="454"/>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Soweit der Rechtsanwalt auch beauftragt ist, den Schriftwechsel mit der Rechtsschutzversicherung zu führen, wird dieser von der Verschwiegenheitsverpflichtung im Verhältnis zur Rechtsschutzversicherung ausdrücklich befreit. In diesem Fall versichert der Mandant, dass der Versicherungsvertrag mit der Rechtsschutzversicherung weiterhin besteht, keine Beitragsrückstände vorliegen und in gleicher Angelegenheit keine anderen Rechtsanwältinnen oder Rechtsanwälte beauftragt sind.</w:t>
      </w:r>
    </w:p>
    <w:p w:rsidR="005A1C30" w:rsidRDefault="005A1C30">
      <w:pPr>
        <w:suppressAutoHyphens/>
        <w:ind w:left="454" w:hanging="454"/>
        <w:rPr>
          <w:rFonts w:ascii="Arial" w:hAnsi="Arial" w:cs="Arial"/>
          <w:color w:val="000000"/>
          <w:sz w:val="24"/>
          <w:szCs w:val="24"/>
        </w:rPr>
      </w:pPr>
    </w:p>
    <w:p w:rsidR="005A1C30" w:rsidRDefault="005A1C30">
      <w:pPr>
        <w:suppressAutoHyphens/>
        <w:spacing w:after="240"/>
        <w:rPr>
          <w:rFonts w:ascii="Arial" w:eastAsiaTheme="minorEastAsia"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4. Speicherung und Verarbeitung von Daten des Mandanten</w:t>
      </w:r>
    </w:p>
    <w:p w:rsidR="005A1C30" w:rsidRDefault="005A1C30">
      <w:pPr>
        <w:suppressAutoHyphens/>
        <w:spacing w:after="240"/>
        <w:rPr>
          <w:rFonts w:ascii="Arial" w:eastAsiaTheme="minorEastAsia" w:hAnsi="Arial" w:cs="Arial"/>
          <w:b/>
          <w:bCs/>
          <w:color w:val="000000"/>
          <w:sz w:val="24"/>
          <w:szCs w:val="24"/>
        </w:rPr>
      </w:pPr>
      <w:r>
        <w:rPr>
          <w:rFonts w:ascii="Arial" w:hAnsi="Arial" w:cs="Arial"/>
          <w:color w:val="000000"/>
          <w:sz w:val="24"/>
          <w:szCs w:val="24"/>
        </w:rPr>
        <w:t>Der Rechtsanwalt ist berechtigt, ihm anvertraute Daten des Mandanten im Rahmen des Mandats mit Datenverarbeitungsanlagen zu erfassen, zu speichern und zu verarbeiten.</w:t>
      </w:r>
    </w:p>
    <w:p w:rsidR="005A1C30" w:rsidRDefault="005A1C30">
      <w:pPr>
        <w:suppressAutoHyphens/>
        <w:spacing w:after="240"/>
        <w:rPr>
          <w:rFonts w:ascii="Arial" w:eastAsiaTheme="minorEastAsia"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5. Unterrichtung des Mandanten per Fax</w:t>
      </w:r>
    </w:p>
    <w:p w:rsidR="000F13CB" w:rsidRDefault="005A1C30">
      <w:pPr>
        <w:suppressAutoHyphens/>
        <w:spacing w:after="240"/>
        <w:rPr>
          <w:rFonts w:ascii="Arial" w:hAnsi="Arial" w:cs="Arial"/>
          <w:color w:val="000000"/>
          <w:sz w:val="24"/>
          <w:szCs w:val="24"/>
        </w:rPr>
      </w:pPr>
      <w:r>
        <w:rPr>
          <w:rFonts w:ascii="Arial" w:hAnsi="Arial" w:cs="Arial"/>
          <w:color w:val="000000"/>
          <w:sz w:val="24"/>
          <w:szCs w:val="24"/>
        </w:rPr>
        <w:t>Soweit der Mandant dem Rechtsanwalt einen Faxanschluss mitteilt, erklärt er sich damit bis auf Widerruf oder ausdrückliche anderweitige Weisung einverstanden, dass der Rechtsanwalt ihm ohne Einschränkungen über dieses Fax mandatsbezogene</w:t>
      </w:r>
      <w:r w:rsidR="000F13CB">
        <w:rPr>
          <w:rFonts w:ascii="Arial" w:hAnsi="Arial" w:cs="Arial"/>
          <w:color w:val="000000"/>
          <w:sz w:val="24"/>
          <w:szCs w:val="24"/>
        </w:rPr>
        <w:t xml:space="preserve"> </w:t>
      </w:r>
      <w:r>
        <w:rPr>
          <w:rFonts w:ascii="Arial" w:hAnsi="Arial" w:cs="Arial"/>
          <w:color w:val="000000"/>
          <w:sz w:val="24"/>
          <w:szCs w:val="24"/>
        </w:rPr>
        <w:t xml:space="preserve">Informationen zusenden. Der Mandant sichert zu, dass nur er oder von ihm </w:t>
      </w:r>
    </w:p>
    <w:p w:rsidR="000F13CB" w:rsidRDefault="000F13CB" w:rsidP="000F13CB">
      <w:pPr>
        <w:suppressAutoHyphens/>
        <w:spacing w:after="240"/>
        <w:jc w:val="center"/>
        <w:rPr>
          <w:rFonts w:ascii="Arial" w:hAnsi="Arial" w:cs="Arial"/>
          <w:color w:val="000000"/>
          <w:sz w:val="24"/>
          <w:szCs w:val="24"/>
        </w:rPr>
      </w:pPr>
      <w:r>
        <w:rPr>
          <w:rFonts w:ascii="Arial" w:hAnsi="Arial" w:cs="Arial"/>
          <w:color w:val="000000"/>
          <w:sz w:val="24"/>
          <w:szCs w:val="24"/>
        </w:rPr>
        <w:lastRenderedPageBreak/>
        <w:t>-4-</w:t>
      </w:r>
    </w:p>
    <w:p w:rsidR="000F13CB" w:rsidRDefault="000F13CB">
      <w:pPr>
        <w:suppressAutoHyphens/>
        <w:spacing w:after="240"/>
        <w:rPr>
          <w:rFonts w:ascii="Arial" w:hAnsi="Arial" w:cs="Arial"/>
          <w:color w:val="000000"/>
          <w:sz w:val="24"/>
          <w:szCs w:val="24"/>
        </w:rPr>
      </w:pPr>
    </w:p>
    <w:p w:rsidR="005A1C30" w:rsidRDefault="000F13CB">
      <w:pPr>
        <w:suppressAutoHyphens/>
        <w:spacing w:after="240"/>
        <w:rPr>
          <w:rFonts w:ascii="Arial" w:hAnsi="Arial" w:cs="Arial"/>
          <w:color w:val="000000"/>
          <w:sz w:val="24"/>
          <w:szCs w:val="24"/>
        </w:rPr>
      </w:pPr>
      <w:r>
        <w:rPr>
          <w:rFonts w:ascii="Arial" w:hAnsi="Arial" w:cs="Arial"/>
          <w:color w:val="000000"/>
          <w:sz w:val="24"/>
          <w:szCs w:val="24"/>
        </w:rPr>
        <w:t>b</w:t>
      </w:r>
      <w:r w:rsidR="005A1C30">
        <w:rPr>
          <w:rFonts w:ascii="Arial" w:hAnsi="Arial" w:cs="Arial"/>
          <w:color w:val="000000"/>
          <w:sz w:val="24"/>
          <w:szCs w:val="24"/>
        </w:rPr>
        <w:t>eauftragte Personen Zugriff auf das Faxgerät haben und dass er Faxeingänge regelmäßig überprüft. Der Mandant ist verpflichtet, den Rechtsanwalt darauf</w:t>
      </w:r>
      <w:r>
        <w:rPr>
          <w:rFonts w:ascii="Arial" w:hAnsi="Arial" w:cs="Arial"/>
          <w:color w:val="000000"/>
          <w:sz w:val="24"/>
          <w:szCs w:val="24"/>
        </w:rPr>
        <w:t xml:space="preserve"> </w:t>
      </w:r>
      <w:r w:rsidR="005A1C30">
        <w:rPr>
          <w:rFonts w:ascii="Arial" w:hAnsi="Arial" w:cs="Arial"/>
          <w:color w:val="000000"/>
          <w:sz w:val="24"/>
          <w:szCs w:val="24"/>
        </w:rPr>
        <w:t>hinzuweisen, wenn Einschränkungen bestehen, etwa das Faxgerät nur unregelmäßig auf Faxeingänge überprüft wird oder Faxeinsendungen nur nach vorheriger Ankündigung gewünscht werden.</w:t>
      </w:r>
    </w:p>
    <w:p w:rsidR="005A1C30" w:rsidRDefault="005A1C30">
      <w:pPr>
        <w:suppressAutoHyphens/>
        <w:spacing w:after="240"/>
        <w:rPr>
          <w:rFonts w:ascii="Arial" w:eastAsiaTheme="minorEastAsia"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6. Unterrichtung des Mandanten per E-Mail</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Soweit der Mandant dem Rechtsanwalt eine E-Mail-Adresse mitteilt, willigt er jederzeit widerruflich ein, dass der Rechtsanwalt ihm ohne Einschränkungen per E-Mail mandatsbezogene Informationen zusenden. Im Übrigen gilt Ziff. 5 entsprechend. Dem Mandanten ist bekannt, dass bei unverschlüsselten E-Mails nur eingeschränkte Vertraulichkeit gewährleistet ist. Soweit der Mandant zum Einsatz von Signaturverfahren und Verschlüsselungsverfahren die technischen Voraussetzungen besitzt und deren Einsatz wünscht, teilt er dies dem Rechtsanwalt mit.</w:t>
      </w:r>
    </w:p>
    <w:p w:rsidR="005A1C30" w:rsidRDefault="005A1C30">
      <w:pPr>
        <w:suppressAutoHyphens/>
        <w:spacing w:after="240"/>
        <w:rPr>
          <w:rFonts w:ascii="Arial" w:eastAsiaTheme="minorEastAsia"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7. Zahlungspflicht des Mandanten; Abtretung; Kostenerstattung</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Der Mandant ist verpflichtet, auf Anforderung des Rechtsanwalts einen angemessenen Vorschuss und nach Beendigung des Mandats die vollständige Vergütung des Rechtsanwalts zu bezahlen. Dies gilt auch, wenn Kostenerstattungsansprüche gegen Rechtsschutzversicherung, Gegenseite oder Dritte bestehen. Der Mandant tritt sämtliche Ansprüche auf Kostenerstattung durch die Gegenseite, Rechtsschutzversicherung oder sonstige Dritte in Höhe der Honorarforderung des Rechtsanwalts hiermit an diese ab. Dieser nimmt die Abtretung an. Der Rechtsanwalt darf eingehende Zahlungen auf offene Honorarforderungen, auch aus anderen Angelegenheiten, verrechnen.</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Der Mandant wird darauf hingewiesen, dass in arbeitsgerichtlichen Streitigkeiten außergerichtlich sowie in der ersten Instanz kein Anspruch auf Erstattung der Anwaltsgebühren oder sonstiger Kosten besteht. In solchen Verfahren trägt unabhängig vom Ausgang jede Partei ihre Kosten selbst. Dies gilt grundsätzlich auch für Kosten in Verfahren der freiwilligen Gerichtsbarkeit.</w:t>
      </w:r>
    </w:p>
    <w:p w:rsidR="005A1C30" w:rsidRDefault="005A1C30">
      <w:pPr>
        <w:suppressAutoHyphens/>
        <w:spacing w:after="240"/>
        <w:rPr>
          <w:rFonts w:ascii="Arial" w:eastAsiaTheme="minorEastAsia" w:hAnsi="Arial" w:cs="Arial"/>
          <w:b/>
          <w:bCs/>
          <w:color w:val="000000"/>
          <w:sz w:val="24"/>
          <w:szCs w:val="24"/>
        </w:rPr>
      </w:pPr>
    </w:p>
    <w:p w:rsidR="004E60F5" w:rsidRPr="004E60F5" w:rsidRDefault="004E60F5" w:rsidP="004E60F5">
      <w:pPr>
        <w:suppressAutoHyphens/>
        <w:spacing w:after="240"/>
        <w:jc w:val="center"/>
        <w:rPr>
          <w:rFonts w:ascii="Arial" w:hAnsi="Arial" w:cs="Arial"/>
          <w:bCs/>
          <w:color w:val="000000"/>
          <w:sz w:val="24"/>
          <w:szCs w:val="24"/>
        </w:rPr>
      </w:pPr>
      <w:r w:rsidRPr="004E60F5">
        <w:rPr>
          <w:rFonts w:ascii="Arial" w:hAnsi="Arial" w:cs="Arial"/>
          <w:bCs/>
          <w:color w:val="000000"/>
          <w:sz w:val="24"/>
          <w:szCs w:val="24"/>
        </w:rPr>
        <w:lastRenderedPageBreak/>
        <w:t>-5-</w:t>
      </w:r>
    </w:p>
    <w:p w:rsidR="004E60F5" w:rsidRDefault="004E60F5">
      <w:pPr>
        <w:suppressAutoHyphens/>
        <w:spacing w:after="240"/>
        <w:rPr>
          <w:rFonts w:ascii="Arial" w:hAnsi="Arial" w:cs="Arial"/>
          <w:b/>
          <w:bCs/>
          <w:color w:val="000000"/>
          <w:sz w:val="24"/>
          <w:szCs w:val="24"/>
        </w:rPr>
      </w:pP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8. Aktenaufbewahrung und Vernichtung</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 xml:space="preserve">Der Mandant wird darauf hingewiesen, dass Handakten des Rechtsanwalts bis auf die Kostenakte und etwaige Titel nach Ablauf von fünf Jahren nach Beendigung des Mandats (§ 50 Abs. 2 S. 1 BRAO) vernichtet werden, sofern der Mandant diese Akten nicht in der Kanzlei </w:t>
      </w:r>
      <w:proofErr w:type="spellStart"/>
      <w:r>
        <w:rPr>
          <w:rFonts w:ascii="Arial" w:hAnsi="Arial" w:cs="Arial"/>
          <w:color w:val="000000"/>
          <w:sz w:val="24"/>
          <w:szCs w:val="24"/>
        </w:rPr>
        <w:t>de</w:t>
      </w:r>
      <w:proofErr w:type="spellEnd"/>
      <w:r>
        <w:rPr>
          <w:rFonts w:ascii="Arial" w:hAnsi="Arial" w:cs="Arial"/>
          <w:color w:val="000000"/>
          <w:sz w:val="24"/>
          <w:szCs w:val="24"/>
        </w:rPr>
        <w:t xml:space="preserve"> Rechtsanwalts vorher abholt. Im Übrigen gilt § 50 Abs. 2 S. 2 BRAO.</w:t>
      </w: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9. Geltung dieser Vereinbarung für künftige Mandate</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Die vorstehenden Mandatsbedingungen gelten auch für künftige Mandate, soweit nichts Entgegenstehendes schriftlich vereinbart wird.</w:t>
      </w:r>
    </w:p>
    <w:p w:rsidR="005A1C30" w:rsidRDefault="005A1C30">
      <w:pPr>
        <w:suppressAutoHyphens/>
        <w:spacing w:after="240"/>
        <w:rPr>
          <w:rFonts w:ascii="Arial" w:hAnsi="Arial" w:cs="Arial"/>
          <w:b/>
          <w:bCs/>
          <w:color w:val="000000"/>
          <w:sz w:val="24"/>
          <w:szCs w:val="24"/>
        </w:rPr>
      </w:pPr>
      <w:r>
        <w:rPr>
          <w:rFonts w:ascii="Arial" w:hAnsi="Arial" w:cs="Arial"/>
          <w:b/>
          <w:bCs/>
          <w:color w:val="000000"/>
          <w:sz w:val="24"/>
          <w:szCs w:val="24"/>
        </w:rPr>
        <w:t>10. Schlussbestimmung</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Die etwaige Rechtsunwirksamkeit einer Bedingung berührt die Rechtswirksamkeit der übrigen Bedingungen nicht.</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Mit den vorstehenden Allgemeinen Mandatsbedingungen bin ich (sind wir) einverstanden.</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Ort, Datum</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_______________________________________________</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_______________________________________________</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Mandant(en)</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Der Erfassung, Speicherung und Verarbeitung meiner Daten im Rahmen der Mandatsbearbeitung stimme ich gem. § 4 a BDSG zu:</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Ort, Datum</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_______________________________________________</w:t>
      </w:r>
    </w:p>
    <w:p w:rsidR="005A1C30" w:rsidRDefault="005A1C30">
      <w:pPr>
        <w:suppressAutoHyphens/>
        <w:spacing w:after="240"/>
        <w:rPr>
          <w:rFonts w:ascii="Arial" w:hAnsi="Arial" w:cs="Arial"/>
          <w:color w:val="000000"/>
          <w:sz w:val="24"/>
          <w:szCs w:val="24"/>
        </w:rPr>
      </w:pPr>
      <w:r>
        <w:rPr>
          <w:rFonts w:ascii="Arial" w:hAnsi="Arial" w:cs="Arial"/>
          <w:color w:val="000000"/>
          <w:sz w:val="24"/>
          <w:szCs w:val="24"/>
        </w:rPr>
        <w:t>_______________________________________________</w:t>
      </w:r>
    </w:p>
    <w:p w:rsidR="005A1C30" w:rsidRDefault="005A1C30">
      <w:pPr>
        <w:suppressAutoHyphens/>
        <w:spacing w:after="240"/>
        <w:rPr>
          <w:rFonts w:ascii="Times New Roman" w:hAnsi="Times New Roman" w:cs="Times New Roman"/>
          <w:sz w:val="28"/>
          <w:szCs w:val="28"/>
        </w:rPr>
      </w:pPr>
      <w:r>
        <w:rPr>
          <w:rFonts w:ascii="Arial" w:hAnsi="Arial" w:cs="Arial"/>
          <w:color w:val="000000"/>
          <w:sz w:val="24"/>
          <w:szCs w:val="24"/>
        </w:rPr>
        <w:t>Mandant(en)</w:t>
      </w:r>
    </w:p>
    <w:sectPr w:rsidR="005A1C30" w:rsidSect="005A1C30">
      <w:headerReference w:type="default" r:id="rId6"/>
      <w:footerReference w:type="default" r:id="rId7"/>
      <w:pgSz w:w="11905" w:h="16835"/>
      <w:pgMar w:top="1440" w:right="1416" w:bottom="1440" w:left="1416" w:header="720" w:footer="8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6B" w:rsidRDefault="0004606B" w:rsidP="005A1C30">
      <w:r>
        <w:separator/>
      </w:r>
    </w:p>
  </w:endnote>
  <w:endnote w:type="continuationSeparator" w:id="0">
    <w:p w:rsidR="0004606B" w:rsidRDefault="0004606B" w:rsidP="005A1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6B" w:rsidRDefault="0004606B" w:rsidP="005A1C30">
      <w:r>
        <w:separator/>
      </w:r>
    </w:p>
  </w:footnote>
  <w:footnote w:type="continuationSeparator" w:id="0">
    <w:p w:rsidR="0004606B" w:rsidRDefault="0004606B" w:rsidP="005A1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kern w:val="0"/>
      </w:rPr>
    </w:pPr>
  </w:p>
  <w:p w:rsidR="005A1C30" w:rsidRDefault="005A1C30">
    <w:pPr>
      <w:tabs>
        <w:tab w:val="center" w:pos="4536"/>
        <w:tab w:val="right" w:pos="9072"/>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A1C30"/>
    <w:rsid w:val="0004606B"/>
    <w:rsid w:val="000F13CB"/>
    <w:rsid w:val="00157765"/>
    <w:rsid w:val="004E5E29"/>
    <w:rsid w:val="004E60F5"/>
    <w:rsid w:val="005A1C3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E29"/>
    <w:pPr>
      <w:widowControl w:val="0"/>
      <w:overflowPunct w:val="0"/>
      <w:autoSpaceDE w:val="0"/>
      <w:autoSpaceDN w:val="0"/>
      <w:adjustRightInd w:val="0"/>
    </w:pPr>
    <w:rPr>
      <w:rFonts w:ascii="Tahoma" w:hAnsi="Tahoma" w:cs="Tahoma"/>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7024</Characters>
  <Application>Microsoft Office Word</Application>
  <DocSecurity>0</DocSecurity>
  <Lines>58</Lines>
  <Paragraphs>16</Paragraphs>
  <ScaleCrop>false</ScaleCrop>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 2</dc:creator>
  <cp:lastModifiedBy>Büro 2</cp:lastModifiedBy>
  <cp:revision>4</cp:revision>
  <cp:lastPrinted>2014-03-23T16:16:00Z</cp:lastPrinted>
  <dcterms:created xsi:type="dcterms:W3CDTF">2014-03-23T16:18:00Z</dcterms:created>
  <dcterms:modified xsi:type="dcterms:W3CDTF">2014-03-23T16:20:00Z</dcterms:modified>
</cp:coreProperties>
</file>